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市场监管总局关于调整</w:t>
      </w:r>
    </w:p>
    <w:p>
      <w:pPr>
        <w:widowControl/>
        <w:shd w:val="clear" w:color="auto" w:fill="FFFFFF"/>
        <w:spacing w:line="360" w:lineRule="atLeast"/>
        <w:jc w:val="center"/>
        <w:rPr>
          <w:rFonts w:ascii="方正小标宋简体" w:hAnsi="宋体" w:eastAsia="方正小标宋简体" w:cs="宋体"/>
          <w:kern w:val="0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实施强制管理的计量器具目录的公告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为持续优化营商环境，深入落实“放管服”改革举措，市场监管总局决定调整实施强制管理的计量器具目录。现将调整后的《实施强制管理的计量器具目录》（以下简称《目录》）予以公布。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一、自本公告发布之日起，列入《目录》且监管方式为“型式批准”和“型式批准、强制检定”的计量器具应办理型式批准或者进口计量器具型式批准；其他计量器具不再办理型式批准或者进口计量器具型式批准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二、自本公告发布之日起，列入《目录》且监管方式为“强制检定”和“型式批准、强制检定”的工作计量器具，使用中应接受强制检定，其他工作计量器具不再实行强制检定，使用者可自行选择非强制检定或者校准的方式，保证量值准确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三、自本公告发布之日起，各级市场监管部门对不在《目录》型式批准范围内的计量器具，已经受理但尚未完成型式批准的，依法终止行政许可程序；各级计量技术机构对不在《目录》强制检定范围内的工作计量器具，已经受理但尚未完成检定的，继续完成检定工作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四、根据强制检定的工作计量器具的结构特点和使用状况，强制检定采取以下两种方式：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1.只做首次强制检定。按实施方式分为：只做首次强制检定，失准报废；只做首次强制检定，限期使用，到期轮换。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2.进行周期检定。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五、强制检定的工作计量器具的检定周期，由相应的检定规程确定。凡计量检定规程规定的检定周期做了修订的，应以修订后的检定规程为准。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其中，电动汽车充电桩延期至2023年1月1日起实行强制检定。鼓励各地方对其具体强制检定方式予以探索。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六、强制检定的工作计量器具的强检方式、强检范围及说明见《目录》。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七、自本公告发布之日起，《市场监管总局关于发布实施强制管理的计量器具目录的公告》（2019年第48号）废止，其中第四项废止的相关文件依然废止。</w:t>
      </w:r>
    </w:p>
    <w:p>
      <w:pPr>
        <w:widowControl/>
        <w:shd w:val="clear" w:color="auto" w:fill="FFFFFF"/>
        <w:spacing w:line="360" w:lineRule="auto"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特此公告。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640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附件：</w:t>
      </w:r>
      <w:r>
        <w:fldChar w:fldCharType="begin"/>
      </w:r>
      <w:r>
        <w:instrText xml:space="preserve"> HYPERLINK "http://gkml.samr.gov.cn/nsjg/jls/202010/W020201026643582930824.pdf" </w:instrText>
      </w:r>
      <w:r>
        <w:fldChar w:fldCharType="separate"/>
      </w:r>
      <w:r>
        <w:rPr>
          <w:rFonts w:ascii="微软雅黑" w:hAnsi="微软雅黑" w:eastAsia="微软雅黑" w:cs="宋体"/>
          <w:sz w:val="32"/>
          <w:szCs w:val="32"/>
        </w:rPr>
        <w:t>实施强制管理的计量器具目录</w:t>
      </w:r>
      <w:r>
        <w:rPr>
          <w:rFonts w:ascii="微软雅黑" w:hAnsi="微软雅黑" w:eastAsia="微软雅黑" w:cs="宋体"/>
          <w:sz w:val="32"/>
          <w:szCs w:val="32"/>
        </w:rPr>
        <w:fldChar w:fldCharType="end"/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5920" w:firstLineChars="18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市场监管总局</w:t>
      </w:r>
    </w:p>
    <w:p>
      <w:pPr>
        <w:widowControl/>
        <w:shd w:val="clear" w:color="auto" w:fill="FFFFFF"/>
        <w:spacing w:before="100" w:beforeAutospacing="1" w:after="100" w:afterAutospacing="1" w:line="360" w:lineRule="atLeast"/>
        <w:ind w:firstLine="5760" w:firstLineChars="18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2020年10月26日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jc w:val="center"/>
        <w:rPr>
          <w:rFonts w:ascii="黑体" w:hAnsi="Calibri" w:eastAsia="黑体" w:cs="黑体"/>
          <w:kern w:val="0"/>
          <w:sz w:val="44"/>
          <w:szCs w:val="44"/>
        </w:rPr>
      </w:pPr>
      <w:r>
        <w:rPr>
          <w:rFonts w:hint="eastAsia" w:ascii="黑体" w:hAnsi="Calibri" w:eastAsia="黑体" w:cs="黑体"/>
          <w:kern w:val="0"/>
          <w:sz w:val="44"/>
          <w:szCs w:val="44"/>
        </w:rPr>
        <w:t>实施强制管理的计量器具目录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276"/>
        <w:gridCol w:w="1417"/>
        <w:gridCol w:w="1276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一级目录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二级目录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监管方式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强检方式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强检范围及说明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体温计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体温计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玻璃体温计只做型式批准和首次强制检定，失准报废；其他体温计周期检定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用于医疗卫生：医疗机构对人体温度的测量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非自动衡器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非自动衡器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用于贸易结算：商品、包裹、行李、粮食等的称重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自动衡器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动态汽车衡（车辆总重计量）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用于安全防护：车辆超限超载的称重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用于贸易结算：商品的称重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轨道衡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轨道衡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用于贸易结算：商品的称重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计量罐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铁路计量罐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（车）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用于贸易结算：液体容积的测量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(6)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船舶液货计量舱（供油船舶计量舱、船舶污油舱、污水舱、运输船舶计量舱5000 载重吨以下）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用于贸易结算：原油、成品油及其他液体或固体容积的测量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(7)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立式金属罐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用于贸易结算：液体容积的测量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(8)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称重传感器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称重传感器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(9)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称重显示器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称重显示器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(10)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加油机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燃油加油机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用于贸易结算：成品油流量的测量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(11)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加气机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液化石油气加气机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用于贸易结算：石油气流量的测量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(12)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压缩天然气加气机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用于贸易结算：天然气流量的测量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(13)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液化天然气加气机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用于贸易结算：天然气流量的测量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仿宋_GB2312" w:eastAsia="仿宋_GB2312" w:cs="仿宋" w:hAnsiTheme="minorEastAsia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276"/>
        <w:gridCol w:w="1417"/>
        <w:gridCol w:w="1276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一级目录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二级目录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监管方式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强检方式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强检范围及说明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(14)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水表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水表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DN15～DN50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工业用：周期检定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生活用：首次强制检定，限期使用，到期轮换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用于贸易结算：用水量的测量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(15)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燃气表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燃气表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G1.6～G16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工业用：周期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检定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生活用：首次强制检定，限期使用，到期轮换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用于贸易结算：煤气（天然气）用量的测量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(16)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热能表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热能表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DN15～DN50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用于贸易结算：用热量的测量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(17)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流量计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流量计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(口径范围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DN300 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以下)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用于贸易结算：液体、气体、蒸汽流量的测量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(18)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血压计（表）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无创自动测量血压计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用于医疗卫生：医疗机构对人体血压的测量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(19)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无创非自动测量血压计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用于医疗卫生：医疗机构对人体血压的测量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(20)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眼压计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眼压计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用于医疗卫生：医疗机构对人体眼压的测量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(21)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压力仪表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指示类压力表、显示类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压力表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安全防护：1.电站锅炉主气包和给水压力的测量；2.固定式空压机风仓及总管压力的测量；3.发电机、气轮机油压及机车压力的测量；4.带报警装置压力的测量；5.密封增压容器压力的测量；6.有害、有毒、腐蚀性严重介质压力的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17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(22)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机动车测速仪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机动车测速仪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用于安全防护：机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动车行驶速度的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监测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仿宋_GB2312" w:eastAsia="仿宋_GB2312" w:cs="仿宋" w:hAnsiTheme="minorEastAsia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276"/>
        <w:gridCol w:w="1417"/>
        <w:gridCol w:w="1276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一级目录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二级目录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监管方式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强检方式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强检范围及说明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(23)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出租汽车计价器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出租汽车计价器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用于贸易结算：出租汽车计时计里程的测量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19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(24)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电能表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电能表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工业用：周期检定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生活用：首次强制检定，限期使用，到期轮换或根据表计状态延期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用于贸易结算：用电量的测量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(25)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声级计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声级计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用于环境监测：噪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声的测量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(26)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听力计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纯音听力计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用于医疗卫生：医疗机构对人体听力的测量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(27)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阻抗听力计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用于医疗卫生：医疗机构对人体听力的测量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22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(28)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焦度计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焦度计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用于医疗卫生：医疗机构、眼镜制配场所对眼镜镜片焦度的测量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(29)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验光仪器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验光仪、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综合验光仪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用于医疗卫生：医疗机构、眼镜制配场所验光使用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(30)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验光镜片箱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用于医疗卫生：医疗机构、眼镜制配场所验光使用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(31)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角膜曲率计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用于医疗卫生：医疗机构、眼镜制配场所测量角膜曲率使用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(32)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糖量计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糖量计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用于贸易结算：制糖原料含糖量的测量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(33)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烟尘粉尘测量仪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烟尘采样器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(34)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粉尘采样器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(35)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粉尘浓度测量仪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(36)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颗粒物采样器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颗粒物采样器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(37)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大气采样器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大气采样器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仿宋_GB2312" w:eastAsia="仿宋_GB2312" w:cs="仿宋" w:hAnsiTheme="minorEastAsia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276"/>
        <w:gridCol w:w="1417"/>
        <w:gridCol w:w="1276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一级目录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二级目录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监管方式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强检方式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强检范围及说明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28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(38)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透射式烟度计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透射式烟度计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用于环境监测:柴油发动机排放污染物的测量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(39)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水分测定仪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烘干法水分测定仪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用于贸易结算：水分的测量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(40)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电容法和电阻法谷物水分测定仪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用于贸易结算：谷物水分的测量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(41)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原棉水分测定仪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用于贸易结算：水分的测量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(42)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呼出气体酒精含量检测仪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呼出气体酒精含量检测仪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用于安全防护：对机动车司机是否酒后开车的监测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(43)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谷物容重器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谷物容重器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用于贸易结算：谷物收购时定等定价每升重量的测量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(44)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乳汁计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乳汁计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用于贸易结算：乳汁浓度和密度的测量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(45)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电动汽车充电桩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电动汽车交（直）流充电桩/非车载</w:t>
            </w:r>
            <w:r>
              <w:rPr>
                <w:rFonts w:hint="eastAsia" w:ascii="仿宋_GB2312" w:eastAsia="仿宋_GB2312" w:cs="仿宋" w:hAnsiTheme="minorEastAsia"/>
                <w:color w:val="FF0000"/>
                <w:kern w:val="0"/>
                <w:szCs w:val="21"/>
              </w:rPr>
              <w:t>直</w:t>
            </w: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流充电机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用于贸易结算：向社会提供充电服务的电动汽车充电桩充电量的测量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(46)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放射治疗用电离室剂量计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放射治疗用电离室剂量计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用于医疗卫生：医疗机构对人体放射剂量的测量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(47)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医用诊断X射线设备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医用诊断X射线设备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 w:val="18"/>
                <w:szCs w:val="18"/>
              </w:rPr>
              <w:t>用于医疗卫生：医疗机构对人体进行辐射诊断和治疗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(48)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医用活度计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医用活度计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用于医疗卫生：医疗机构以放射性核素进行诊断和治疗的核素活度的测量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(49)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心脑电测量仪器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心电图仪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用于医疗卫生：医疗机构对人体心电位的测量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(50)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脑电图仪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用于医疗卫生：医疗机构对人体脑电位的测量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(51)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多参数监护仪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强制检定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 w:val="18"/>
                <w:szCs w:val="18"/>
              </w:rPr>
              <w:t>用于医疗卫生：医疗机构对人体心电、脉搏、血氧饱和度等测量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仿宋_GB2312" w:eastAsia="仿宋_GB2312" w:cs="仿宋" w:hAnsiTheme="minorEastAsia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276"/>
        <w:gridCol w:w="1417"/>
        <w:gridCol w:w="1276"/>
        <w:gridCol w:w="155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一级目录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二级目录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监管方式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强检方式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强检范围及说明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(52)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电力测量用互感器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电力测量用互感器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500kV（含）以下型式批准、强制检定；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500kV以上型式批准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周期检定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" w:hAnsiTheme="minorEastAsia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用于贸易结算：作为电能表的配套设备，对用电量的测量。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39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(53)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测绘仪器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手持式激光测距仪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(54)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全站仪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(55)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测地型GNSS接收机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40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(56)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有毒有害、易燃易爆气体检测（报警）仪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二氧化硫气体检测仪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(57)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硫化氢气体分析仪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(58)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一氧化碳检测报警器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(59)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一氧化碳、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二氧化碳、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红外线气体分析器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(60)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烟气分析仪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(61)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化学发光法氮氧化物分析仪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(62)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甲烷测定器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型式批准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  <w:tc>
          <w:tcPr>
            <w:tcW w:w="21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仿宋" w:hAnsiTheme="minorEastAsia"/>
                <w:kern w:val="0"/>
                <w:szCs w:val="21"/>
              </w:rPr>
              <w:t>————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Calibri" w:eastAsia="黑体" w:cs="黑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黑体" w:hAnsi="Calibri" w:eastAsia="黑体" w:cs="黑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Cs w:val="21"/>
        </w:rPr>
      </w:pPr>
      <w:r>
        <w:rPr>
          <w:rFonts w:ascii="仿宋" w:hAnsi="Calibri" w:eastAsia="仿宋" w:cs="仿宋"/>
          <w:kern w:val="0"/>
          <w:szCs w:val="21"/>
        </w:rPr>
        <w:t xml:space="preserve">  </w:t>
      </w: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Cs w:val="21"/>
        </w:rPr>
      </w:pPr>
      <w:r>
        <w:rPr>
          <w:rFonts w:ascii="仿宋" w:hAnsi="Calibri" w:eastAsia="仿宋" w:cs="仿宋"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Cs w:val="21"/>
        </w:rPr>
      </w:pPr>
      <w:r>
        <w:rPr>
          <w:rFonts w:ascii="仿宋" w:hAnsi="Calibri" w:eastAsia="仿宋" w:cs="仿宋"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仿宋" w:hAnsi="Calibri" w:eastAsia="仿宋" w:cs="仿宋"/>
          <w:kern w:val="0"/>
          <w:szCs w:val="21"/>
        </w:rPr>
      </w:pPr>
    </w:p>
    <w:p>
      <w:r>
        <w:rPr>
          <w:rFonts w:ascii="仿宋" w:hAnsi="Calibri" w:eastAsia="仿宋" w:cs="仿宋"/>
          <w:kern w:val="0"/>
          <w:szCs w:val="21"/>
        </w:rPr>
        <w:t>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78"/>
    <w:rsid w:val="00022144"/>
    <w:rsid w:val="00225149"/>
    <w:rsid w:val="00377CCD"/>
    <w:rsid w:val="0044264B"/>
    <w:rsid w:val="00557A78"/>
    <w:rsid w:val="009F1F16"/>
    <w:rsid w:val="009F5E58"/>
    <w:rsid w:val="00C72FCF"/>
    <w:rsid w:val="00D81E69"/>
    <w:rsid w:val="00DC07B7"/>
    <w:rsid w:val="00F17177"/>
    <w:rsid w:val="0956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670</Words>
  <Characters>3820</Characters>
  <Lines>31</Lines>
  <Paragraphs>8</Paragraphs>
  <TotalTime>0</TotalTime>
  <ScaleCrop>false</ScaleCrop>
  <LinksUpToDate>false</LinksUpToDate>
  <CharactersWithSpaces>4482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2020-10-27T03:32:00Z</dcterms:created>
  <dc:creator>Micorosoft</dc:creator>
  <cp:lastModifiedBy>丽</cp:lastModifiedBy>
  <dcterms:modified xsi:type="dcterms:W3CDTF">2020-10-28T01:46:59Z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